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28E" w:rsidRDefault="0089728E" w:rsidP="00CD7960">
      <w:pPr>
        <w:pStyle w:val="a3"/>
        <w:pageBreakBefore/>
        <w:ind w:right="283" w:firstLine="567"/>
        <w:jc w:val="center"/>
      </w:pPr>
      <w:r>
        <w:rPr>
          <w:b/>
          <w:bCs/>
          <w:sz w:val="27"/>
          <w:szCs w:val="27"/>
        </w:rPr>
        <w:t>КОМИТЕТ ПО ЗДРАВООХРАНЕНИЮ САНКТ-ПЕТЕРБУРГА</w:t>
      </w:r>
    </w:p>
    <w:p w:rsidR="0089728E" w:rsidRDefault="0089728E" w:rsidP="00CD7960">
      <w:pPr>
        <w:pStyle w:val="a3"/>
        <w:ind w:right="283" w:firstLine="567"/>
        <w:jc w:val="center"/>
      </w:pPr>
      <w:r>
        <w:rPr>
          <w:b/>
          <w:bCs/>
          <w:sz w:val="27"/>
          <w:szCs w:val="27"/>
        </w:rPr>
        <w:t xml:space="preserve">САНКТ-ПЕТЕРБУРГСКОЕ ГОСУДАРСТВЕННОЕ БЮДЖЕТНОЕ </w:t>
      </w:r>
      <w:r w:rsidR="008478DE">
        <w:rPr>
          <w:b/>
          <w:bCs/>
          <w:sz w:val="27"/>
          <w:szCs w:val="27"/>
        </w:rPr>
        <w:t>ПРОФЕССИОНАЛЬНОЕ ОБРАЗОВАТЕЛЬНОЕ УЧРЕЖДЕНИЕ</w:t>
      </w:r>
    </w:p>
    <w:p w:rsidR="0089728E" w:rsidRDefault="0089728E" w:rsidP="00CD7960">
      <w:pPr>
        <w:pStyle w:val="a3"/>
        <w:ind w:right="283" w:firstLine="567"/>
        <w:jc w:val="center"/>
      </w:pPr>
      <w:r>
        <w:rPr>
          <w:b/>
          <w:bCs/>
          <w:sz w:val="27"/>
          <w:szCs w:val="27"/>
        </w:rPr>
        <w:t>«МЕДИЦИНСКИЙ ТЕХНИКУМ №9»</w:t>
      </w:r>
    </w:p>
    <w:p w:rsidR="0089728E" w:rsidRDefault="0089728E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</w:p>
    <w:p w:rsidR="00885C4F" w:rsidRDefault="00885C4F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Практическое занятие № 1</w:t>
      </w:r>
    </w:p>
    <w:p w:rsidR="00EF395C" w:rsidRDefault="00885C4F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Лабораторная работа  «</w:t>
      </w:r>
      <w:r>
        <w:rPr>
          <w:b/>
          <w:bCs/>
          <w:sz w:val="27"/>
          <w:szCs w:val="27"/>
          <w:lang w:val="en-US"/>
        </w:rPr>
        <w:t>WORD</w:t>
      </w:r>
      <w:r>
        <w:rPr>
          <w:b/>
          <w:bCs/>
          <w:sz w:val="27"/>
          <w:szCs w:val="27"/>
        </w:rPr>
        <w:t>»</w:t>
      </w:r>
    </w:p>
    <w:p w:rsidR="00885C4F" w:rsidRDefault="00885C4F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Студент –</w:t>
      </w:r>
    </w:p>
    <w:p w:rsidR="0051309E" w:rsidRPr="00EF395C" w:rsidRDefault="0051309E" w:rsidP="0051309E">
      <w:pPr>
        <w:pStyle w:val="a3"/>
        <w:ind w:right="283" w:firstLine="567"/>
        <w:jc w:val="center"/>
        <w:rPr>
          <w:b/>
        </w:rPr>
      </w:pPr>
      <w:r w:rsidRPr="00EF395C">
        <w:rPr>
          <w:b/>
        </w:rPr>
        <w:t xml:space="preserve">Вариант </w:t>
      </w:r>
      <w:r w:rsidR="00500AA5">
        <w:rPr>
          <w:b/>
        </w:rPr>
        <w:t>3</w:t>
      </w:r>
      <w:r w:rsidRPr="00EF395C">
        <w:rPr>
          <w:b/>
        </w:rPr>
        <w:t>1</w:t>
      </w:r>
    </w:p>
    <w:p w:rsidR="00885C4F" w:rsidRPr="00885C4F" w:rsidRDefault="00885C4F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2021</w:t>
      </w:r>
    </w:p>
    <w:p w:rsidR="00500A4B" w:rsidRPr="001F4A67" w:rsidRDefault="00500A4B" w:rsidP="00885C4F">
      <w:pPr>
        <w:pStyle w:val="1"/>
        <w:spacing w:before="30" w:beforeAutospacing="0" w:after="30" w:afterAutospacing="0" w:line="360" w:lineRule="auto"/>
        <w:ind w:right="283"/>
        <w:rPr>
          <w:color w:val="000000"/>
          <w:sz w:val="28"/>
          <w:szCs w:val="28"/>
        </w:rPr>
      </w:pPr>
      <w:bookmarkStart w:id="0" w:name="_Toc415554477"/>
      <w:r w:rsidRPr="001F4A67">
        <w:rPr>
          <w:color w:val="000000"/>
          <w:sz w:val="28"/>
          <w:szCs w:val="28"/>
        </w:rPr>
        <w:t>ВВЕДЕНИЕ</w:t>
      </w:r>
      <w:bookmarkEnd w:id="0"/>
    </w:p>
    <w:p w:rsidR="00500A4B" w:rsidRPr="00A35722" w:rsidRDefault="00500A4B" w:rsidP="003053EB">
      <w:pPr>
        <w:spacing w:before="30" w:after="3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BB3593">
        <w:rPr>
          <w:rFonts w:ascii="Times New Roman" w:hAnsi="Times New Roman" w:cs="Times New Roman"/>
          <w:sz w:val="28"/>
          <w:szCs w:val="28"/>
        </w:rPr>
        <w:t xml:space="preserve">Цереброваскулярные заболевания (ЦВЗ) </w:t>
      </w:r>
      <w:r w:rsidR="002A2CF7">
        <w:rPr>
          <w:rFonts w:ascii="Times New Roman" w:hAnsi="Times New Roman" w:cs="Times New Roman"/>
          <w:sz w:val="28"/>
          <w:szCs w:val="28"/>
        </w:rPr>
        <w:t>являются</w:t>
      </w:r>
      <w:r w:rsidRPr="00BB3593">
        <w:rPr>
          <w:rFonts w:ascii="Times New Roman" w:hAnsi="Times New Roman" w:cs="Times New Roman"/>
          <w:sz w:val="28"/>
          <w:szCs w:val="28"/>
        </w:rPr>
        <w:t xml:space="preserve"> наиболее распространенным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неинфекционным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болезням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и частым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заболеваниям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нервной системы, а их </w:t>
      </w:r>
      <w:r w:rsidR="002A2CF7">
        <w:rPr>
          <w:rFonts w:ascii="Times New Roman" w:hAnsi="Times New Roman" w:cs="Times New Roman"/>
          <w:sz w:val="28"/>
          <w:szCs w:val="28"/>
        </w:rPr>
        <w:t xml:space="preserve">самая </w:t>
      </w:r>
      <w:r w:rsidRPr="00BB3593">
        <w:rPr>
          <w:rFonts w:ascii="Times New Roman" w:hAnsi="Times New Roman" w:cs="Times New Roman"/>
          <w:sz w:val="28"/>
          <w:szCs w:val="28"/>
        </w:rPr>
        <w:t xml:space="preserve">опасная форма - острое нарушение мозгового кровообращения (ОНМК) - встречается </w:t>
      </w:r>
      <w:r w:rsidR="002A2CF7">
        <w:rPr>
          <w:rFonts w:ascii="Times New Roman" w:hAnsi="Times New Roman" w:cs="Times New Roman"/>
          <w:sz w:val="28"/>
          <w:szCs w:val="28"/>
        </w:rPr>
        <w:t xml:space="preserve">намного </w:t>
      </w:r>
      <w:r w:rsidRPr="00BB3593">
        <w:rPr>
          <w:rFonts w:ascii="Times New Roman" w:hAnsi="Times New Roman" w:cs="Times New Roman"/>
          <w:sz w:val="28"/>
          <w:szCs w:val="28"/>
        </w:rPr>
        <w:t xml:space="preserve">чаще, чем острый инфаркт миокарда. В мире ежегодно регистрируется более 15 </w:t>
      </w:r>
      <w:r w:rsidR="002A2CF7" w:rsidRPr="00BB3593">
        <w:rPr>
          <w:rFonts w:ascii="Times New Roman" w:hAnsi="Times New Roman" w:cs="Times New Roman"/>
          <w:sz w:val="28"/>
          <w:szCs w:val="28"/>
        </w:rPr>
        <w:t>млн.</w:t>
      </w:r>
      <w:r w:rsidRPr="00BB3593">
        <w:rPr>
          <w:rFonts w:ascii="Times New Roman" w:hAnsi="Times New Roman" w:cs="Times New Roman"/>
          <w:sz w:val="28"/>
          <w:szCs w:val="28"/>
        </w:rPr>
        <w:t xml:space="preserve"> </w:t>
      </w:r>
      <w:r w:rsidRPr="003053EB">
        <w:rPr>
          <w:rFonts w:ascii="Times New Roman" w:hAnsi="Times New Roman" w:cs="Times New Roman"/>
          <w:b/>
          <w:i/>
          <w:szCs w:val="28"/>
          <w:u w:val="single"/>
        </w:rPr>
        <w:t>инсультов, и почти половина инсультов и треть смертей от инсульта наблюдается в возрасте младше 70-75 лет. С инсультами связаны 10% всех смертей (</w:t>
      </w:r>
      <w:r w:rsidR="002A2CF7" w:rsidRPr="003053EB">
        <w:rPr>
          <w:rFonts w:ascii="Times New Roman" w:hAnsi="Times New Roman" w:cs="Times New Roman"/>
          <w:b/>
          <w:i/>
          <w:szCs w:val="28"/>
          <w:u w:val="single"/>
        </w:rPr>
        <w:t>что составляет почти 6 млн. в год) и это</w:t>
      </w:r>
      <w:r w:rsidRPr="003053EB">
        <w:rPr>
          <w:rFonts w:ascii="Times New Roman" w:hAnsi="Times New Roman" w:cs="Times New Roman"/>
          <w:b/>
          <w:i/>
          <w:szCs w:val="28"/>
          <w:u w:val="single"/>
        </w:rPr>
        <w:t xml:space="preserve"> делает инсульт причиной смерти № </w:t>
      </w:r>
      <w:r w:rsidR="002A2CF7" w:rsidRPr="003053EB">
        <w:rPr>
          <w:rFonts w:ascii="Times New Roman" w:hAnsi="Times New Roman" w:cs="Times New Roman"/>
          <w:b/>
          <w:i/>
          <w:szCs w:val="28"/>
          <w:u w:val="single"/>
        </w:rPr>
        <w:t>1</w:t>
      </w:r>
      <w:r w:rsidRPr="003053EB">
        <w:rPr>
          <w:rFonts w:ascii="Times New Roman" w:hAnsi="Times New Roman" w:cs="Times New Roman"/>
          <w:b/>
          <w:i/>
          <w:szCs w:val="28"/>
          <w:u w:val="single"/>
        </w:rPr>
        <w:t xml:space="preserve"> на планете [3, 4]. Однако в большинстве случаев следствием ОНМК является не смерть, а ограничения жизнедеятельности, поэтому инсульты являются ведущей причиной инвалид</w:t>
      </w:r>
      <w:r w:rsidR="002A2CF7" w:rsidRPr="003053EB">
        <w:rPr>
          <w:rFonts w:ascii="Times New Roman" w:hAnsi="Times New Roman" w:cs="Times New Roman"/>
          <w:b/>
          <w:i/>
          <w:szCs w:val="28"/>
          <w:u w:val="single"/>
        </w:rPr>
        <w:t>изации</w:t>
      </w:r>
      <w:r w:rsidRPr="003053EB">
        <w:rPr>
          <w:rFonts w:ascii="Times New Roman" w:hAnsi="Times New Roman" w:cs="Times New Roman"/>
          <w:b/>
          <w:i/>
          <w:szCs w:val="28"/>
          <w:u w:val="single"/>
        </w:rPr>
        <w:t xml:space="preserve"> среди людей старшей возрастной группы. В</w:t>
      </w:r>
      <w:r w:rsidRPr="003053EB">
        <w:rPr>
          <w:rFonts w:ascii="Times New Roman" w:hAnsi="Times New Roman" w:cs="Times New Roman"/>
          <w:szCs w:val="28"/>
        </w:rPr>
        <w:t xml:space="preserve"> </w:t>
      </w:r>
      <w:r w:rsidRPr="00BB3593">
        <w:rPr>
          <w:rFonts w:ascii="Times New Roman" w:hAnsi="Times New Roman" w:cs="Times New Roman"/>
          <w:sz w:val="28"/>
          <w:szCs w:val="28"/>
        </w:rPr>
        <w:t>среднем 60% больных, перенесших инсульт, имеют стойкие неврологические нарушения, препятствующие их повседневной жизнедеятельности. Так, инсульты часто приводят к нарушениям движений и способности к передвижению, высокому риску падений и переломов, зрительных и речевых расстройств, дисфункции тазовых органов, нарушений глотания и алиментарной недостаточности, эмоциональных (депрессия) и когнитивных (до с</w:t>
      </w:r>
      <w:r w:rsidRPr="00A35722">
        <w:rPr>
          <w:rFonts w:ascii="Times New Roman" w:hAnsi="Times New Roman" w:cs="Times New Roman"/>
          <w:sz w:val="28"/>
          <w:szCs w:val="28"/>
        </w:rPr>
        <w:t>тепени деменции) расстройств</w:t>
      </w:r>
      <w:r w:rsidR="00941C4F" w:rsidRPr="00941C4F">
        <w:rPr>
          <w:rFonts w:ascii="Times New Roman" w:hAnsi="Times New Roman" w:cs="Times New Roman"/>
          <w:sz w:val="28"/>
          <w:szCs w:val="28"/>
        </w:rPr>
        <w:t xml:space="preserve"> [4, 12]</w:t>
      </w:r>
      <w:r w:rsidRPr="00A35722">
        <w:rPr>
          <w:rFonts w:ascii="Times New Roman" w:hAnsi="Times New Roman" w:cs="Times New Roman"/>
          <w:sz w:val="28"/>
          <w:szCs w:val="28"/>
        </w:rPr>
        <w:t>.</w:t>
      </w:r>
    </w:p>
    <w:p w:rsidR="005E3164" w:rsidRPr="0039027E" w:rsidRDefault="0039027E" w:rsidP="006804A1">
      <w:pPr>
        <w:pStyle w:val="1"/>
        <w:rPr>
          <w:b w:val="0"/>
          <w:sz w:val="28"/>
          <w:szCs w:val="28"/>
        </w:rPr>
      </w:pPr>
      <w:bookmarkStart w:id="1" w:name="_GoBack"/>
      <w:r>
        <w:rPr>
          <w:sz w:val="28"/>
          <w:szCs w:val="28"/>
        </w:rPr>
        <w:lastRenderedPageBreak/>
        <w:t xml:space="preserve">ГЛАВА 1. </w:t>
      </w:r>
      <w:r w:rsidR="00CC1FE7" w:rsidRPr="0039027E">
        <w:rPr>
          <w:sz w:val="28"/>
          <w:szCs w:val="28"/>
        </w:rPr>
        <w:t xml:space="preserve">РОЛЬ МЕДИЦИНСКОГО ПЕРСОНАЛА В ПРЕДУПРЕЖДЕНИИ ОСЛОЖНЕНИЙ ПРИ УХОДЕ ЗА ПАЦИЕНТАМИ </w:t>
      </w:r>
      <w:r w:rsidR="00547E9B">
        <w:rPr>
          <w:sz w:val="28"/>
          <w:szCs w:val="28"/>
        </w:rPr>
        <w:t>ПРИ</w:t>
      </w:r>
      <w:r w:rsidR="005A7EE3">
        <w:rPr>
          <w:sz w:val="28"/>
          <w:szCs w:val="28"/>
        </w:rPr>
        <w:t xml:space="preserve"> ОСТРОЙ СОСУДИСТОЙ ПАТОЛОГИИ</w:t>
      </w:r>
      <w:r w:rsidR="00CC1FE7" w:rsidRPr="0039027E">
        <w:rPr>
          <w:sz w:val="28"/>
          <w:szCs w:val="28"/>
        </w:rPr>
        <w:t xml:space="preserve"> ГОЛОВНОГО МОЗГА</w:t>
      </w:r>
    </w:p>
    <w:bookmarkEnd w:id="1"/>
    <w:p w:rsidR="00CC1FE7" w:rsidRPr="001F4A67" w:rsidRDefault="00BD7D0A" w:rsidP="00877CFC">
      <w:pPr>
        <w:spacing w:before="30" w:after="30"/>
        <w:ind w:right="28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F4A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1.1. ПРОФИЛАКТИЧЕСКИЕ МЕРЫ ПО ПРЕДУПРЕЖДЕНИЮ ОСЛОЖНЕНИЙ ПРИ УХОДЕ ЗА ПАЦИЕНТАМИ С ОСТРОЙ СОСУДИСТОЙ ПАТОЛОГИЕЙ ГОЛОВНОГО МОЗГА</w:t>
      </w:r>
    </w:p>
    <w:p w:rsidR="004C5B73" w:rsidRDefault="004C5B73" w:rsidP="00BB7A94">
      <w:pPr>
        <w:spacing w:before="30" w:after="30"/>
        <w:ind w:right="283"/>
        <w:jc w:val="both"/>
        <w:rPr>
          <w:rFonts w:ascii="Times New Roman" w:hAnsi="Times New Roman" w:cs="Times New Roman"/>
          <w:sz w:val="28"/>
          <w:szCs w:val="28"/>
        </w:rPr>
      </w:pPr>
      <w:bookmarkStart w:id="2" w:name="1"/>
      <w:bookmarkEnd w:id="2"/>
      <w:r w:rsidRPr="004C5B73">
        <w:rPr>
          <w:rFonts w:ascii="Times New Roman" w:hAnsi="Times New Roman" w:cs="Times New Roman"/>
          <w:sz w:val="28"/>
          <w:szCs w:val="28"/>
        </w:rPr>
        <w:t xml:space="preserve">Пролежни чаще наблюдаются у больных с параличами и нарушением чувствительности. Если нарушается чувствительность, то </w:t>
      </w:r>
      <w:r w:rsidR="00C42BE0">
        <w:rPr>
          <w:rFonts w:ascii="Times New Roman" w:hAnsi="Times New Roman" w:cs="Times New Roman"/>
          <w:sz w:val="28"/>
          <w:szCs w:val="28"/>
        </w:rPr>
        <w:t>теряю</w:t>
      </w:r>
      <w:r w:rsidRPr="004C5B73">
        <w:rPr>
          <w:rFonts w:ascii="Times New Roman" w:hAnsi="Times New Roman" w:cs="Times New Roman"/>
          <w:sz w:val="28"/>
          <w:szCs w:val="28"/>
        </w:rPr>
        <w:t xml:space="preserve">тся </w:t>
      </w:r>
      <w:r w:rsidR="00C42BE0">
        <w:rPr>
          <w:rFonts w:ascii="Times New Roman" w:hAnsi="Times New Roman" w:cs="Times New Roman"/>
          <w:sz w:val="28"/>
          <w:szCs w:val="28"/>
        </w:rPr>
        <w:t>болевые ощущенияот давления на пострадавшую</w:t>
      </w:r>
      <w:r w:rsidRPr="004C5B73">
        <w:rPr>
          <w:rFonts w:ascii="Times New Roman" w:hAnsi="Times New Roman" w:cs="Times New Roman"/>
          <w:sz w:val="28"/>
          <w:szCs w:val="28"/>
        </w:rPr>
        <w:t xml:space="preserve"> больн</w:t>
      </w:r>
      <w:r w:rsidR="00C42BE0">
        <w:rPr>
          <w:rFonts w:ascii="Times New Roman" w:hAnsi="Times New Roman" w:cs="Times New Roman"/>
          <w:sz w:val="28"/>
          <w:szCs w:val="28"/>
        </w:rPr>
        <w:t>ую</w:t>
      </w:r>
      <w:r w:rsidRPr="004C5B73">
        <w:rPr>
          <w:rFonts w:ascii="Times New Roman" w:hAnsi="Times New Roman" w:cs="Times New Roman"/>
          <w:sz w:val="28"/>
          <w:szCs w:val="28"/>
        </w:rPr>
        <w:t xml:space="preserve"> сторон</w:t>
      </w:r>
      <w:r w:rsidR="00C42BE0">
        <w:rPr>
          <w:rFonts w:ascii="Times New Roman" w:hAnsi="Times New Roman" w:cs="Times New Roman"/>
          <w:sz w:val="28"/>
          <w:szCs w:val="28"/>
        </w:rPr>
        <w:t>у</w:t>
      </w:r>
      <w:r w:rsidRPr="004C5B73">
        <w:rPr>
          <w:rFonts w:ascii="Times New Roman" w:hAnsi="Times New Roman" w:cs="Times New Roman"/>
          <w:sz w:val="28"/>
          <w:szCs w:val="28"/>
        </w:rPr>
        <w:t xml:space="preserve"> тела. Появляется риск получить пролежни. Наиболее эффективная профилактика </w:t>
      </w:r>
      <w:r w:rsidRPr="00BB7A94">
        <w:rPr>
          <w:rFonts w:asciiTheme="majorHAnsi" w:hAnsiTheme="majorHAnsi" w:cs="Aharoni"/>
          <w:sz w:val="36"/>
          <w:szCs w:val="28"/>
        </w:rPr>
        <w:t xml:space="preserve">состоит в регулярном изменении </w:t>
      </w:r>
      <w:r w:rsidR="00C42BE0" w:rsidRPr="00BB7A94">
        <w:rPr>
          <w:rFonts w:asciiTheme="majorHAnsi" w:hAnsiTheme="majorHAnsi" w:cs="Aharoni"/>
          <w:sz w:val="36"/>
          <w:szCs w:val="28"/>
        </w:rPr>
        <w:t xml:space="preserve">медицинской сестрой </w:t>
      </w:r>
      <w:r w:rsidRPr="00BB7A94">
        <w:rPr>
          <w:rFonts w:asciiTheme="majorHAnsi" w:hAnsiTheme="majorHAnsi" w:cs="Aharoni"/>
          <w:sz w:val="36"/>
          <w:szCs w:val="28"/>
        </w:rPr>
        <w:t>положения тела</w:t>
      </w:r>
      <w:r w:rsidR="00C42BE0" w:rsidRPr="00BB7A94">
        <w:rPr>
          <w:rFonts w:asciiTheme="majorHAnsi" w:hAnsiTheme="majorHAnsi" w:cs="Aharoni"/>
          <w:sz w:val="36"/>
          <w:szCs w:val="28"/>
        </w:rPr>
        <w:t xml:space="preserve"> пациента</w:t>
      </w:r>
      <w:r w:rsidRPr="00BB7A94">
        <w:rPr>
          <w:rFonts w:asciiTheme="majorHAnsi" w:hAnsiTheme="majorHAnsi" w:cs="Aharoni"/>
          <w:sz w:val="36"/>
          <w:szCs w:val="28"/>
        </w:rPr>
        <w:t>, в пользовании подгузниками и тщательном уходе за кожей. Особой защиты требуют области костных выступов (пятки, седалищные бугры, крестец).</w:t>
      </w:r>
      <w:r w:rsidRPr="00BB7A94">
        <w:rPr>
          <w:rFonts w:ascii="Times New Roman" w:hAnsi="Times New Roman" w:cs="Times New Roman"/>
          <w:sz w:val="36"/>
          <w:szCs w:val="28"/>
        </w:rPr>
        <w:t xml:space="preserve"> </w:t>
      </w:r>
      <w:r w:rsidRPr="004C5B73">
        <w:rPr>
          <w:rFonts w:ascii="Times New Roman" w:hAnsi="Times New Roman" w:cs="Times New Roman"/>
          <w:sz w:val="28"/>
          <w:szCs w:val="28"/>
        </w:rPr>
        <w:t xml:space="preserve">Под эти участки кожи подкладывают </w:t>
      </w:r>
      <w:r w:rsidR="00C42BE0">
        <w:rPr>
          <w:rFonts w:ascii="Times New Roman" w:hAnsi="Times New Roman" w:cs="Times New Roman"/>
          <w:sz w:val="28"/>
          <w:szCs w:val="28"/>
        </w:rPr>
        <w:t>мягкие материалы</w:t>
      </w:r>
      <w:r w:rsidRPr="004C5B73">
        <w:rPr>
          <w:rFonts w:ascii="Times New Roman" w:hAnsi="Times New Roman" w:cs="Times New Roman"/>
          <w:sz w:val="28"/>
          <w:szCs w:val="28"/>
        </w:rPr>
        <w:t xml:space="preserve">, водные матрацы, подкладные круги с отверстием - под крестец. Не </w:t>
      </w:r>
      <w:r w:rsidR="00C42BE0">
        <w:rPr>
          <w:rFonts w:ascii="Times New Roman" w:hAnsi="Times New Roman" w:cs="Times New Roman"/>
          <w:sz w:val="28"/>
          <w:szCs w:val="28"/>
        </w:rPr>
        <w:t>рекомендуется</w:t>
      </w:r>
      <w:r w:rsidRPr="004C5B73">
        <w:rPr>
          <w:rFonts w:ascii="Times New Roman" w:hAnsi="Times New Roman" w:cs="Times New Roman"/>
          <w:sz w:val="28"/>
          <w:szCs w:val="28"/>
        </w:rPr>
        <w:t xml:space="preserve"> применять круглые </w:t>
      </w:r>
      <w:r>
        <w:rPr>
          <w:rFonts w:ascii="Times New Roman" w:hAnsi="Times New Roman" w:cs="Times New Roman"/>
          <w:sz w:val="28"/>
          <w:szCs w:val="28"/>
        </w:rPr>
        <w:t>подушки, выпуклый центр которых</w:t>
      </w:r>
      <w:r w:rsidRPr="004C5B73">
        <w:rPr>
          <w:rFonts w:ascii="Times New Roman" w:hAnsi="Times New Roman" w:cs="Times New Roman"/>
          <w:sz w:val="28"/>
          <w:szCs w:val="28"/>
        </w:rPr>
        <w:t xml:space="preserve"> может вызвать нарушение кровоснабжения кожи и пролежень</w:t>
      </w:r>
      <w:r w:rsidR="00592AE0" w:rsidRPr="00592AE0">
        <w:rPr>
          <w:rFonts w:ascii="Times New Roman" w:hAnsi="Times New Roman" w:cs="Times New Roman"/>
          <w:sz w:val="28"/>
          <w:szCs w:val="28"/>
        </w:rPr>
        <w:t xml:space="preserve"> [13]</w:t>
      </w:r>
      <w:r w:rsidRPr="004C5B73">
        <w:rPr>
          <w:rFonts w:ascii="Times New Roman" w:hAnsi="Times New Roman" w:cs="Times New Roman"/>
          <w:sz w:val="28"/>
          <w:szCs w:val="28"/>
        </w:rPr>
        <w:t>.</w:t>
      </w:r>
    </w:p>
    <w:p w:rsidR="00050474" w:rsidRPr="00B90557" w:rsidRDefault="00387AD3" w:rsidP="00E90896">
      <w:pPr>
        <w:pStyle w:val="1"/>
        <w:rPr>
          <w:b w:val="0"/>
          <w:sz w:val="24"/>
          <w:szCs w:val="24"/>
        </w:rPr>
      </w:pPr>
      <w:r w:rsidRPr="00B90557">
        <w:rPr>
          <w:sz w:val="24"/>
          <w:szCs w:val="24"/>
          <w:shd w:val="clear" w:color="auto" w:fill="FFFFFF"/>
        </w:rPr>
        <w:t>1.2. УХОД И РЕАБИЛИТАЦИЯ ЗА БОЛЬНЫМИ ОСТРЫМИ СОСУДИСТЫМИ ПАТОЛОГИЯМИ ГОЛОВНОГО МОЗГА</w:t>
      </w:r>
    </w:p>
    <w:p w:rsidR="002D432E" w:rsidRDefault="002D432E" w:rsidP="00BB7A94">
      <w:pPr>
        <w:pStyle w:val="a3"/>
        <w:shd w:val="clear" w:color="auto" w:fill="FFFFFF"/>
        <w:spacing w:before="30" w:beforeAutospacing="0" w:after="30" w:line="368" w:lineRule="atLeast"/>
        <w:ind w:right="283"/>
        <w:jc w:val="both"/>
        <w:rPr>
          <w:sz w:val="28"/>
          <w:szCs w:val="28"/>
        </w:rPr>
      </w:pPr>
      <w:r w:rsidRPr="002D432E">
        <w:rPr>
          <w:sz w:val="28"/>
          <w:szCs w:val="28"/>
        </w:rPr>
        <w:t>Основны</w:t>
      </w:r>
      <w:r w:rsidRPr="00A943A6">
        <w:rPr>
          <w:sz w:val="28"/>
          <w:szCs w:val="28"/>
        </w:rPr>
        <w:t>е принципы реабилитации при</w:t>
      </w:r>
      <w:r w:rsidRPr="00A943A6">
        <w:rPr>
          <w:rStyle w:val="apple-converted-space"/>
          <w:sz w:val="28"/>
          <w:szCs w:val="28"/>
        </w:rPr>
        <w:t> </w:t>
      </w:r>
      <w:hyperlink r:id="rId8" w:history="1">
        <w:r w:rsidR="00A943A6" w:rsidRPr="00A943A6">
          <w:rPr>
            <w:rStyle w:val="a4"/>
            <w:color w:val="auto"/>
            <w:sz w:val="28"/>
            <w:szCs w:val="28"/>
            <w:u w:val="none"/>
          </w:rPr>
          <w:t>острых</w:t>
        </w:r>
      </w:hyperlink>
      <w:r w:rsidR="00A943A6" w:rsidRPr="00A943A6">
        <w:rPr>
          <w:sz w:val="28"/>
          <w:szCs w:val="28"/>
        </w:rPr>
        <w:t xml:space="preserve"> сосудистых патологиях головного мозга</w:t>
      </w:r>
      <w:r w:rsidR="00BB7A94">
        <w:rPr>
          <w:sz w:val="28"/>
          <w:szCs w:val="28"/>
        </w:rPr>
        <w:t>.</w:t>
      </w:r>
    </w:p>
    <w:p w:rsidR="00634DB2" w:rsidRPr="001F4A67" w:rsidRDefault="00634DB2" w:rsidP="00877CFC">
      <w:pPr>
        <w:spacing w:before="30" w:after="30"/>
        <w:ind w:right="283"/>
        <w:rPr>
          <w:b/>
          <w:bCs/>
          <w:color w:val="000000"/>
          <w:sz w:val="28"/>
          <w:szCs w:val="28"/>
        </w:rPr>
      </w:pPr>
      <w:bookmarkStart w:id="3" w:name="_Toc415554483"/>
      <w:r w:rsidRPr="001F4A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1.3. НЕОТЛОЖНЫЕ ПРОФИЛАКТИЧЕСКИЕ, ДИАГНОСТИЧЕСКИЕ И ЛЕЧЕБНЫЕ МЕРОПРИЯТИЯ ДЛЯ ПРЕДОТВРАЩЕНИЯ ОСЛОЖНЕНИЙ </w:t>
      </w:r>
      <w:r w:rsidR="00155E9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ОСТРОЙ СОСУДИСТОЙ ПАТОЛОГИИ</w:t>
      </w:r>
      <w:r w:rsidRPr="001F4A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ГОЛОВНОГО МОЗГА И КОРРЕКЦИИ НАРУШЕНИЙ ГОМЕОСТАЗА</w:t>
      </w:r>
    </w:p>
    <w:p w:rsidR="001A36A9" w:rsidRPr="0047327B" w:rsidRDefault="001A36A9" w:rsidP="00BB7A94">
      <w:pPr>
        <w:pStyle w:val="a3"/>
        <w:spacing w:before="30" w:beforeAutospacing="0" w:after="30" w:line="360" w:lineRule="auto"/>
        <w:ind w:right="283"/>
        <w:jc w:val="both"/>
        <w:rPr>
          <w:sz w:val="28"/>
          <w:szCs w:val="28"/>
        </w:rPr>
      </w:pPr>
      <w:r w:rsidRPr="0047327B">
        <w:rPr>
          <w:sz w:val="28"/>
          <w:szCs w:val="28"/>
        </w:rPr>
        <w:t xml:space="preserve">Поскольку терапевтическое окно для лечения острого ишемического инсульта ограничено во времени, очень важно быстро провести обследование и диагностику ишемического инсульта. </w:t>
      </w:r>
    </w:p>
    <w:p w:rsidR="0022632B" w:rsidRPr="0039027E" w:rsidRDefault="0039027E" w:rsidP="00877CFC">
      <w:pPr>
        <w:spacing w:before="30" w:after="30"/>
        <w:ind w:right="283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3902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ГЛАВА 2. </w:t>
      </w:r>
      <w:r w:rsidR="006E3E0F" w:rsidRPr="003902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ЭМПИРИЧЕСКАЯ ЧАСТЬ</w:t>
      </w:r>
    </w:p>
    <w:p w:rsidR="006A0C04" w:rsidRDefault="00156D05" w:rsidP="007B10CF">
      <w:pPr>
        <w:spacing w:before="30" w:after="30"/>
        <w:ind w:right="283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Собранный в ходе эмпирического исследования </w:t>
      </w:r>
      <w:r w:rsidR="00F917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материал </w:t>
      </w:r>
      <w:r w:rsidR="006A0C0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позволил изучить особенности деятельности медицинского персонала в предупреждении осложнений при уходе за пациентами с острой сосудистой патологией головного мозга и помог </w:t>
      </w:r>
      <w:r w:rsidR="00E77B3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наглядным образом </w:t>
      </w:r>
      <w:r w:rsidR="006A0C0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lastRenderedPageBreak/>
        <w:t>выявить степень информированности пациентов о профилактике острой сосудистой патологии головного мозга.</w:t>
      </w:r>
    </w:p>
    <w:p w:rsidR="00F35FEC" w:rsidRDefault="00F35FEC" w:rsidP="00F35FEC">
      <w:pPr>
        <w:jc w:val="center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B764B0"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4180810" cy="2743200"/>
            <wp:effectExtent l="19050" t="0" r="1019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764B0" w:rsidRDefault="00F35FEC" w:rsidP="00877CFC">
      <w:pPr>
        <w:spacing w:before="30" w:after="30"/>
        <w:ind w:right="283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F35FEC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Вывод:</w:t>
      </w:r>
      <w:r w:rsidR="00B764B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Данные, полученные в результате обработки полученной информации, показали, что среди двадцати опрошенных пациентов 75% впервые больны острым сосудистым нарушением мозгового кровообращения, 20% вторично и 5% попали на неврологическое отдел</w:t>
      </w:r>
      <w:r w:rsidR="000C20B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ение стационара третий раз (см. рисунок варианта </w:t>
      </w:r>
      <w:r w:rsidR="00500AA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3</w:t>
      </w:r>
      <w:r w:rsidR="00B764B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1).</w:t>
      </w:r>
    </w:p>
    <w:p w:rsidR="00050474" w:rsidRPr="00F867E5" w:rsidRDefault="00050474" w:rsidP="00877CFC">
      <w:pPr>
        <w:pStyle w:val="1"/>
        <w:spacing w:before="30" w:beforeAutospacing="0" w:after="30" w:afterAutospacing="0" w:line="360" w:lineRule="auto"/>
        <w:ind w:right="283"/>
        <w:rPr>
          <w:bCs w:val="0"/>
          <w:color w:val="000000"/>
          <w:sz w:val="28"/>
          <w:szCs w:val="28"/>
        </w:rPr>
      </w:pPr>
      <w:r w:rsidRPr="00F867E5">
        <w:rPr>
          <w:bCs w:val="0"/>
          <w:color w:val="000000"/>
          <w:sz w:val="28"/>
          <w:szCs w:val="28"/>
        </w:rPr>
        <w:t>ЗАКЛЮЧЕНИ</w:t>
      </w:r>
      <w:bookmarkEnd w:id="3"/>
      <w:r w:rsidR="00877CFC">
        <w:rPr>
          <w:bCs w:val="0"/>
          <w:color w:val="000000"/>
          <w:sz w:val="28"/>
          <w:szCs w:val="28"/>
        </w:rPr>
        <w:t>Е</w:t>
      </w:r>
    </w:p>
    <w:p w:rsidR="0074572F" w:rsidRDefault="00F91D6B" w:rsidP="00596292">
      <w:pPr>
        <w:spacing w:after="0" w:line="192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медицинского персона в организации предупреждений возможных осложнений при острой сосудистой патологии головного мозга огромна. Помощь в организации досуга неврологических пациентов, </w:t>
      </w:r>
      <w:r w:rsidR="0074572F">
        <w:rPr>
          <w:rFonts w:ascii="Times New Roman" w:hAnsi="Times New Roman" w:cs="Times New Roman"/>
          <w:sz w:val="28"/>
          <w:szCs w:val="28"/>
        </w:rPr>
        <w:t>обеспечение психологического комфорта пациента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4572F">
        <w:rPr>
          <w:rFonts w:ascii="Times New Roman" w:hAnsi="Times New Roman" w:cs="Times New Roman"/>
          <w:sz w:val="28"/>
          <w:szCs w:val="28"/>
        </w:rPr>
        <w:t>информирование пациентов и их родственников о профильном заболевании, обеспечение санитарно-гигиенического обслуживания, противоэпидемического режима, организация лечебно-охранительного режима и непосредственный уход за пациентами – все это обязанности медиц</w:t>
      </w:r>
      <w:r w:rsidR="0074572F" w:rsidRPr="0074572F">
        <w:rPr>
          <w:rFonts w:ascii="Times New Roman" w:hAnsi="Times New Roman" w:cs="Times New Roman"/>
          <w:sz w:val="28"/>
          <w:szCs w:val="28"/>
        </w:rPr>
        <w:t>инской сестры.</w:t>
      </w:r>
    </w:p>
    <w:p w:rsidR="00BD7D0A" w:rsidRPr="00433F14" w:rsidRDefault="00BD7D0A" w:rsidP="00877CFC">
      <w:pPr>
        <w:ind w:right="283"/>
        <w:rPr>
          <w:b/>
          <w:bCs/>
          <w:sz w:val="28"/>
          <w:szCs w:val="28"/>
        </w:rPr>
      </w:pPr>
      <w:bookmarkStart w:id="4" w:name="_Toc415554484"/>
      <w:r w:rsidRPr="00433F14">
        <w:rPr>
          <w:b/>
          <w:bCs/>
          <w:sz w:val="28"/>
          <w:szCs w:val="28"/>
        </w:rPr>
        <w:t>ЛИТЕРАТУРА</w:t>
      </w:r>
      <w:bookmarkEnd w:id="4"/>
    </w:p>
    <w:p w:rsidR="00BD7D0A" w:rsidRPr="0047327B" w:rsidRDefault="00BD7D0A" w:rsidP="0077214C">
      <w:pPr>
        <w:numPr>
          <w:ilvl w:val="0"/>
          <w:numId w:val="2"/>
        </w:numPr>
        <w:spacing w:before="30" w:after="30" w:line="360" w:lineRule="auto"/>
        <w:ind w:left="0" w:right="283" w:firstLine="567"/>
        <w:jc w:val="both"/>
        <w:rPr>
          <w:sz w:val="28"/>
          <w:szCs w:val="28"/>
        </w:rPr>
      </w:pPr>
      <w:r w:rsidRPr="0047327B">
        <w:rPr>
          <w:sz w:val="28"/>
          <w:szCs w:val="28"/>
        </w:rPr>
        <w:t xml:space="preserve">Болезни сердца: рук-во для врачей / под ред. Р.Г. Оганова. </w:t>
      </w:r>
      <w:r w:rsidR="008B0E33">
        <w:rPr>
          <w:sz w:val="28"/>
          <w:szCs w:val="28"/>
        </w:rPr>
        <w:t>–</w:t>
      </w:r>
      <w:r w:rsidRPr="0047327B">
        <w:rPr>
          <w:sz w:val="28"/>
          <w:szCs w:val="28"/>
        </w:rPr>
        <w:t xml:space="preserve"> М., 20</w:t>
      </w:r>
      <w:r w:rsidR="00416125">
        <w:rPr>
          <w:sz w:val="28"/>
          <w:szCs w:val="28"/>
        </w:rPr>
        <w:t>1</w:t>
      </w:r>
      <w:r w:rsidRPr="0047327B">
        <w:rPr>
          <w:sz w:val="28"/>
          <w:szCs w:val="28"/>
        </w:rPr>
        <w:t>6.</w:t>
      </w:r>
    </w:p>
    <w:p w:rsidR="00BD7D0A" w:rsidRDefault="00A006E6" w:rsidP="0077214C">
      <w:pPr>
        <w:numPr>
          <w:ilvl w:val="0"/>
          <w:numId w:val="2"/>
        </w:numPr>
        <w:spacing w:before="30" w:after="30" w:line="360" w:lineRule="auto"/>
        <w:ind w:left="0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500AA5">
        <w:rPr>
          <w:sz w:val="28"/>
          <w:szCs w:val="28"/>
        </w:rPr>
        <w:t>азаров</w:t>
      </w:r>
      <w:r>
        <w:rPr>
          <w:sz w:val="28"/>
          <w:szCs w:val="28"/>
        </w:rPr>
        <w:t xml:space="preserve"> </w:t>
      </w:r>
      <w:r w:rsidR="00BD7D0A" w:rsidRPr="0047327B">
        <w:rPr>
          <w:sz w:val="28"/>
          <w:szCs w:val="28"/>
        </w:rPr>
        <w:t>Ю.А. Лечение неотложных состояний в кардиологии (часть I) Прогресс-Традиция, 20</w:t>
      </w:r>
      <w:r w:rsidR="00416125">
        <w:rPr>
          <w:sz w:val="28"/>
          <w:szCs w:val="28"/>
        </w:rPr>
        <w:t>15</w:t>
      </w:r>
      <w:r w:rsidR="00BD7D0A" w:rsidRPr="0047327B">
        <w:rPr>
          <w:sz w:val="28"/>
          <w:szCs w:val="28"/>
        </w:rPr>
        <w:t xml:space="preserve">. </w:t>
      </w:r>
    </w:p>
    <w:p w:rsidR="00596292" w:rsidRPr="0047327B" w:rsidRDefault="00500AA5" w:rsidP="0077214C">
      <w:pPr>
        <w:numPr>
          <w:ilvl w:val="0"/>
          <w:numId w:val="2"/>
        </w:numPr>
        <w:spacing w:before="30" w:after="30" w:line="360" w:lineRule="auto"/>
        <w:ind w:left="0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Вариант 31</w:t>
      </w:r>
    </w:p>
    <w:sectPr w:rsidR="00596292" w:rsidRPr="0047327B" w:rsidSect="00A7333A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97E" w:rsidRDefault="00A1097E" w:rsidP="0089728E">
      <w:pPr>
        <w:spacing w:after="0" w:line="240" w:lineRule="auto"/>
      </w:pPr>
      <w:r>
        <w:separator/>
      </w:r>
    </w:p>
  </w:endnote>
  <w:endnote w:type="continuationSeparator" w:id="1">
    <w:p w:rsidR="00A1097E" w:rsidRDefault="00A1097E" w:rsidP="0089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895838"/>
      <w:docPartObj>
        <w:docPartGallery w:val="Page Numbers (Bottom of Page)"/>
        <w:docPartUnique/>
      </w:docPartObj>
    </w:sdtPr>
    <w:sdtContent>
      <w:p w:rsidR="00DA159A" w:rsidRDefault="001D2F8A">
        <w:pPr>
          <w:pStyle w:val="a7"/>
          <w:jc w:val="center"/>
        </w:pPr>
        <w:r w:rsidRPr="0089728E">
          <w:rPr>
            <w:b/>
          </w:rPr>
          <w:fldChar w:fldCharType="begin"/>
        </w:r>
        <w:r w:rsidR="00DA159A" w:rsidRPr="0089728E">
          <w:rPr>
            <w:b/>
          </w:rPr>
          <w:instrText xml:space="preserve"> PAGE   \* MERGEFORMAT </w:instrText>
        </w:r>
        <w:r w:rsidRPr="0089728E">
          <w:rPr>
            <w:b/>
          </w:rPr>
          <w:fldChar w:fldCharType="separate"/>
        </w:r>
        <w:r w:rsidR="00500AA5">
          <w:rPr>
            <w:b/>
            <w:noProof/>
          </w:rPr>
          <w:t>1</w:t>
        </w:r>
        <w:r w:rsidRPr="0089728E">
          <w:rPr>
            <w:b/>
          </w:rPr>
          <w:fldChar w:fldCharType="end"/>
        </w:r>
      </w:p>
    </w:sdtContent>
  </w:sdt>
  <w:p w:rsidR="00DA159A" w:rsidRDefault="00DA15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97E" w:rsidRDefault="00A1097E" w:rsidP="0089728E">
      <w:pPr>
        <w:spacing w:after="0" w:line="240" w:lineRule="auto"/>
      </w:pPr>
      <w:r>
        <w:separator/>
      </w:r>
    </w:p>
  </w:footnote>
  <w:footnote w:type="continuationSeparator" w:id="1">
    <w:p w:rsidR="00A1097E" w:rsidRDefault="00A1097E" w:rsidP="00897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2D9A"/>
    <w:multiLevelType w:val="multilevel"/>
    <w:tmpl w:val="B84E17B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223AA"/>
    <w:multiLevelType w:val="multilevel"/>
    <w:tmpl w:val="76529D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FF5436"/>
    <w:multiLevelType w:val="hybridMultilevel"/>
    <w:tmpl w:val="B92C5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2108BB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84AF4"/>
    <w:multiLevelType w:val="hybridMultilevel"/>
    <w:tmpl w:val="E2B25E62"/>
    <w:lvl w:ilvl="0" w:tplc="0E22882C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8D40D95"/>
    <w:multiLevelType w:val="hybridMultilevel"/>
    <w:tmpl w:val="F4D2CBDE"/>
    <w:lvl w:ilvl="0" w:tplc="EEEEC94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A570BD6"/>
    <w:multiLevelType w:val="multilevel"/>
    <w:tmpl w:val="9C32B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A340A7"/>
    <w:multiLevelType w:val="hybridMultilevel"/>
    <w:tmpl w:val="8D0CA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1F4F24"/>
    <w:multiLevelType w:val="hybridMultilevel"/>
    <w:tmpl w:val="EFDC7E60"/>
    <w:lvl w:ilvl="0" w:tplc="EC307C0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3FC02A4"/>
    <w:multiLevelType w:val="hybridMultilevel"/>
    <w:tmpl w:val="F4C258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F55E9F"/>
    <w:multiLevelType w:val="hybridMultilevel"/>
    <w:tmpl w:val="9362C434"/>
    <w:lvl w:ilvl="0" w:tplc="4B7C61C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1FE5CAA"/>
    <w:multiLevelType w:val="multilevel"/>
    <w:tmpl w:val="6D664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4263DB"/>
    <w:multiLevelType w:val="hybridMultilevel"/>
    <w:tmpl w:val="C17A0F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B300DF"/>
    <w:multiLevelType w:val="hybridMultilevel"/>
    <w:tmpl w:val="566CCF46"/>
    <w:lvl w:ilvl="0" w:tplc="DDD4A3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6077F84"/>
    <w:multiLevelType w:val="multilevel"/>
    <w:tmpl w:val="61A6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DE4633"/>
    <w:multiLevelType w:val="hybridMultilevel"/>
    <w:tmpl w:val="3AE23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91685A"/>
    <w:multiLevelType w:val="multilevel"/>
    <w:tmpl w:val="1D64E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E82226"/>
    <w:multiLevelType w:val="hybridMultilevel"/>
    <w:tmpl w:val="CFCA251A"/>
    <w:lvl w:ilvl="0" w:tplc="48F086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61E4978"/>
    <w:multiLevelType w:val="multilevel"/>
    <w:tmpl w:val="91E231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C97E8F"/>
    <w:multiLevelType w:val="multilevel"/>
    <w:tmpl w:val="08A27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6777A1"/>
    <w:multiLevelType w:val="hybridMultilevel"/>
    <w:tmpl w:val="A1E42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F6793B"/>
    <w:multiLevelType w:val="multilevel"/>
    <w:tmpl w:val="35566D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5"/>
  </w:num>
  <w:num w:numId="5">
    <w:abstractNumId w:val="15"/>
  </w:num>
  <w:num w:numId="6">
    <w:abstractNumId w:val="18"/>
  </w:num>
  <w:num w:numId="7">
    <w:abstractNumId w:val="4"/>
  </w:num>
  <w:num w:numId="8">
    <w:abstractNumId w:val="7"/>
  </w:num>
  <w:num w:numId="9">
    <w:abstractNumId w:val="8"/>
  </w:num>
  <w:num w:numId="10">
    <w:abstractNumId w:val="19"/>
  </w:num>
  <w:num w:numId="11">
    <w:abstractNumId w:val="6"/>
  </w:num>
  <w:num w:numId="12">
    <w:abstractNumId w:val="11"/>
  </w:num>
  <w:num w:numId="13">
    <w:abstractNumId w:val="17"/>
  </w:num>
  <w:num w:numId="14">
    <w:abstractNumId w:val="14"/>
  </w:num>
  <w:num w:numId="15">
    <w:abstractNumId w:val="1"/>
  </w:num>
  <w:num w:numId="16">
    <w:abstractNumId w:val="0"/>
  </w:num>
  <w:num w:numId="17">
    <w:abstractNumId w:val="2"/>
  </w:num>
  <w:num w:numId="18">
    <w:abstractNumId w:val="12"/>
  </w:num>
  <w:num w:numId="19">
    <w:abstractNumId w:val="20"/>
  </w:num>
  <w:num w:numId="20">
    <w:abstractNumId w:val="16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60418">
      <o:colormenu v:ext="edit" fillcolor="none [3212]" strokecolor="none [3212]" shadow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89728E"/>
    <w:rsid w:val="00027B76"/>
    <w:rsid w:val="00030614"/>
    <w:rsid w:val="00050474"/>
    <w:rsid w:val="0005326A"/>
    <w:rsid w:val="00053C7A"/>
    <w:rsid w:val="0007255F"/>
    <w:rsid w:val="00080212"/>
    <w:rsid w:val="00080FDC"/>
    <w:rsid w:val="000B0E59"/>
    <w:rsid w:val="000C20BC"/>
    <w:rsid w:val="000E62AA"/>
    <w:rsid w:val="00113034"/>
    <w:rsid w:val="00121AD1"/>
    <w:rsid w:val="00133529"/>
    <w:rsid w:val="0014630D"/>
    <w:rsid w:val="001515BB"/>
    <w:rsid w:val="00155E9B"/>
    <w:rsid w:val="00156D05"/>
    <w:rsid w:val="00171CAD"/>
    <w:rsid w:val="00193EEE"/>
    <w:rsid w:val="001948A9"/>
    <w:rsid w:val="0019772B"/>
    <w:rsid w:val="001A36A9"/>
    <w:rsid w:val="001B785B"/>
    <w:rsid w:val="001B7D88"/>
    <w:rsid w:val="001D2F8A"/>
    <w:rsid w:val="001F2E4D"/>
    <w:rsid w:val="001F4A67"/>
    <w:rsid w:val="002127ED"/>
    <w:rsid w:val="00212EF1"/>
    <w:rsid w:val="0022632B"/>
    <w:rsid w:val="00254DA4"/>
    <w:rsid w:val="002550C7"/>
    <w:rsid w:val="00271BA9"/>
    <w:rsid w:val="002857B0"/>
    <w:rsid w:val="002A2CF7"/>
    <w:rsid w:val="002D432E"/>
    <w:rsid w:val="002D7565"/>
    <w:rsid w:val="0030373E"/>
    <w:rsid w:val="003053EB"/>
    <w:rsid w:val="00325A8D"/>
    <w:rsid w:val="00326398"/>
    <w:rsid w:val="0032722D"/>
    <w:rsid w:val="00341CF5"/>
    <w:rsid w:val="0034670E"/>
    <w:rsid w:val="00362CB0"/>
    <w:rsid w:val="00387AD3"/>
    <w:rsid w:val="0039027E"/>
    <w:rsid w:val="003B5849"/>
    <w:rsid w:val="003C0772"/>
    <w:rsid w:val="003D08B4"/>
    <w:rsid w:val="00416125"/>
    <w:rsid w:val="0042626F"/>
    <w:rsid w:val="00433F14"/>
    <w:rsid w:val="004374EF"/>
    <w:rsid w:val="004938E0"/>
    <w:rsid w:val="004A0981"/>
    <w:rsid w:val="004A25A5"/>
    <w:rsid w:val="004B7271"/>
    <w:rsid w:val="004C5B73"/>
    <w:rsid w:val="00500A4B"/>
    <w:rsid w:val="00500AA5"/>
    <w:rsid w:val="005042E4"/>
    <w:rsid w:val="0051309E"/>
    <w:rsid w:val="00522A02"/>
    <w:rsid w:val="00547E9B"/>
    <w:rsid w:val="005648DD"/>
    <w:rsid w:val="00564D3E"/>
    <w:rsid w:val="00567DB9"/>
    <w:rsid w:val="005818D0"/>
    <w:rsid w:val="00592142"/>
    <w:rsid w:val="00592AE0"/>
    <w:rsid w:val="00596292"/>
    <w:rsid w:val="005A7EE3"/>
    <w:rsid w:val="005C34F8"/>
    <w:rsid w:val="005E3164"/>
    <w:rsid w:val="005F4009"/>
    <w:rsid w:val="00601B20"/>
    <w:rsid w:val="00617813"/>
    <w:rsid w:val="0062289B"/>
    <w:rsid w:val="006347E9"/>
    <w:rsid w:val="00634DB2"/>
    <w:rsid w:val="00652ED6"/>
    <w:rsid w:val="0066729E"/>
    <w:rsid w:val="006804A1"/>
    <w:rsid w:val="00691710"/>
    <w:rsid w:val="006A0C04"/>
    <w:rsid w:val="006A0D3E"/>
    <w:rsid w:val="006A7FDF"/>
    <w:rsid w:val="006B223E"/>
    <w:rsid w:val="006B3C9B"/>
    <w:rsid w:val="006C39DC"/>
    <w:rsid w:val="006C67F2"/>
    <w:rsid w:val="006D28CF"/>
    <w:rsid w:val="006E3E0F"/>
    <w:rsid w:val="006F4B77"/>
    <w:rsid w:val="00744194"/>
    <w:rsid w:val="0074572F"/>
    <w:rsid w:val="00746AC5"/>
    <w:rsid w:val="0075340D"/>
    <w:rsid w:val="00761204"/>
    <w:rsid w:val="00761CC1"/>
    <w:rsid w:val="0077214C"/>
    <w:rsid w:val="00793C51"/>
    <w:rsid w:val="007A0B95"/>
    <w:rsid w:val="007B10CF"/>
    <w:rsid w:val="007B6883"/>
    <w:rsid w:val="00815FC7"/>
    <w:rsid w:val="008164DA"/>
    <w:rsid w:val="008177EA"/>
    <w:rsid w:val="00831056"/>
    <w:rsid w:val="008478DE"/>
    <w:rsid w:val="00855AD4"/>
    <w:rsid w:val="00877CFC"/>
    <w:rsid w:val="00885C4F"/>
    <w:rsid w:val="00891923"/>
    <w:rsid w:val="0089728E"/>
    <w:rsid w:val="008972CB"/>
    <w:rsid w:val="008A2428"/>
    <w:rsid w:val="008A490F"/>
    <w:rsid w:val="008B0E33"/>
    <w:rsid w:val="008C7C77"/>
    <w:rsid w:val="008D1D7F"/>
    <w:rsid w:val="008E426D"/>
    <w:rsid w:val="0090157C"/>
    <w:rsid w:val="00911759"/>
    <w:rsid w:val="00911DF9"/>
    <w:rsid w:val="009310DA"/>
    <w:rsid w:val="00934C95"/>
    <w:rsid w:val="00941C4F"/>
    <w:rsid w:val="00954B57"/>
    <w:rsid w:val="009937EE"/>
    <w:rsid w:val="009A32FF"/>
    <w:rsid w:val="009C0ADC"/>
    <w:rsid w:val="009C5F9D"/>
    <w:rsid w:val="00A006E6"/>
    <w:rsid w:val="00A1097E"/>
    <w:rsid w:val="00A205B9"/>
    <w:rsid w:val="00A35722"/>
    <w:rsid w:val="00A7333A"/>
    <w:rsid w:val="00A74767"/>
    <w:rsid w:val="00A84CBA"/>
    <w:rsid w:val="00A87B05"/>
    <w:rsid w:val="00A943A6"/>
    <w:rsid w:val="00B071C5"/>
    <w:rsid w:val="00B14BA0"/>
    <w:rsid w:val="00B54B15"/>
    <w:rsid w:val="00B55A1C"/>
    <w:rsid w:val="00B55F1C"/>
    <w:rsid w:val="00B6605A"/>
    <w:rsid w:val="00B67D1E"/>
    <w:rsid w:val="00B700FE"/>
    <w:rsid w:val="00B708AA"/>
    <w:rsid w:val="00B764B0"/>
    <w:rsid w:val="00B90557"/>
    <w:rsid w:val="00BA20C9"/>
    <w:rsid w:val="00BB3593"/>
    <w:rsid w:val="00BB3919"/>
    <w:rsid w:val="00BB5E62"/>
    <w:rsid w:val="00BB7A94"/>
    <w:rsid w:val="00BD7D0A"/>
    <w:rsid w:val="00BF0AD4"/>
    <w:rsid w:val="00C216AE"/>
    <w:rsid w:val="00C3756F"/>
    <w:rsid w:val="00C42BE0"/>
    <w:rsid w:val="00C56229"/>
    <w:rsid w:val="00C7555B"/>
    <w:rsid w:val="00CA5D27"/>
    <w:rsid w:val="00CC1FE7"/>
    <w:rsid w:val="00CC3666"/>
    <w:rsid w:val="00CD3E58"/>
    <w:rsid w:val="00CD7960"/>
    <w:rsid w:val="00D01BD3"/>
    <w:rsid w:val="00D13BE4"/>
    <w:rsid w:val="00D61D78"/>
    <w:rsid w:val="00D641C3"/>
    <w:rsid w:val="00D72586"/>
    <w:rsid w:val="00D8061A"/>
    <w:rsid w:val="00DA159A"/>
    <w:rsid w:val="00DA4D12"/>
    <w:rsid w:val="00DA5C6A"/>
    <w:rsid w:val="00DB79BB"/>
    <w:rsid w:val="00DC44C7"/>
    <w:rsid w:val="00DF69DC"/>
    <w:rsid w:val="00E13099"/>
    <w:rsid w:val="00E1356C"/>
    <w:rsid w:val="00E227D9"/>
    <w:rsid w:val="00E30453"/>
    <w:rsid w:val="00E67B4F"/>
    <w:rsid w:val="00E703C1"/>
    <w:rsid w:val="00E77B3B"/>
    <w:rsid w:val="00E85A42"/>
    <w:rsid w:val="00E90896"/>
    <w:rsid w:val="00EA6F8F"/>
    <w:rsid w:val="00EB0D63"/>
    <w:rsid w:val="00ED7088"/>
    <w:rsid w:val="00EE0D58"/>
    <w:rsid w:val="00EF395C"/>
    <w:rsid w:val="00F16437"/>
    <w:rsid w:val="00F35FEC"/>
    <w:rsid w:val="00F36DAC"/>
    <w:rsid w:val="00F461BB"/>
    <w:rsid w:val="00F605A4"/>
    <w:rsid w:val="00F80B24"/>
    <w:rsid w:val="00F80BD6"/>
    <w:rsid w:val="00F853FC"/>
    <w:rsid w:val="00F873C6"/>
    <w:rsid w:val="00F91736"/>
    <w:rsid w:val="00F91D6B"/>
    <w:rsid w:val="00FA2CD8"/>
    <w:rsid w:val="00FA6683"/>
    <w:rsid w:val="00FA77D8"/>
    <w:rsid w:val="00FC61F7"/>
    <w:rsid w:val="00FE4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>
      <o:colormenu v:ext="edit" fillcolor="none [3212]" strokecolor="none [3212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28E"/>
  </w:style>
  <w:style w:type="paragraph" w:styleId="1">
    <w:name w:val="heading 1"/>
    <w:basedOn w:val="a"/>
    <w:link w:val="10"/>
    <w:uiPriority w:val="99"/>
    <w:qFormat/>
    <w:rsid w:val="00500A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B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B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2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rsid w:val="0089728E"/>
    <w:pPr>
      <w:tabs>
        <w:tab w:val="right" w:leader="dot" w:pos="9345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89728E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9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728E"/>
  </w:style>
  <w:style w:type="paragraph" w:styleId="a7">
    <w:name w:val="footer"/>
    <w:basedOn w:val="a"/>
    <w:link w:val="a8"/>
    <w:uiPriority w:val="99"/>
    <w:unhideWhenUsed/>
    <w:rsid w:val="0089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728E"/>
  </w:style>
  <w:style w:type="character" w:customStyle="1" w:styleId="10">
    <w:name w:val="Заголовок 1 Знак"/>
    <w:basedOn w:val="a0"/>
    <w:link w:val="1"/>
    <w:uiPriority w:val="9"/>
    <w:rsid w:val="00500A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00A4B"/>
    <w:rPr>
      <w:rFonts w:cs="Times New Roman"/>
    </w:rPr>
  </w:style>
  <w:style w:type="paragraph" w:styleId="a9">
    <w:name w:val="List Paragraph"/>
    <w:basedOn w:val="a"/>
    <w:uiPriority w:val="34"/>
    <w:qFormat/>
    <w:rsid w:val="00F461B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C5B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C5B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Strong"/>
    <w:basedOn w:val="a0"/>
    <w:uiPriority w:val="22"/>
    <w:qFormat/>
    <w:rsid w:val="008972CB"/>
    <w:rPr>
      <w:b/>
      <w:bCs/>
    </w:rPr>
  </w:style>
  <w:style w:type="table" w:styleId="ab">
    <w:name w:val="Table Grid"/>
    <w:basedOn w:val="a1"/>
    <w:uiPriority w:val="59"/>
    <w:rsid w:val="006C3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76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64B0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74419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portal.ru/enc/neurology/stroke/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Стаж выявленного заболевания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8.0417872667102527E-2"/>
                  <c:y val="5.3092789871854486E-2"/>
                </c:manualLayout>
              </c:layout>
              <c:tx>
                <c:rich>
                  <a:bodyPr/>
                  <a:lstStyle/>
                  <a:p>
                    <a:r>
                      <a:rPr lang="en-US" sz="1400" b="1">
                        <a:solidFill>
                          <a:schemeClr val="tx2"/>
                        </a:solidFill>
                      </a:rPr>
                      <a:t>75%</a:t>
                    </a:r>
                  </a:p>
                </c:rich>
              </c:tx>
              <c:showPercent val="1"/>
            </c:dLbl>
            <c:dLbl>
              <c:idx val="1"/>
              <c:layout>
                <c:manualLayout>
                  <c:x val="-9.9171309119957515E-2"/>
                  <c:y val="-4.3220009263547875E-2"/>
                </c:manualLayout>
              </c:layout>
              <c:tx>
                <c:rich>
                  <a:bodyPr/>
                  <a:lstStyle/>
                  <a:p>
                    <a:r>
                      <a:rPr lang="en-US" sz="1400" b="1">
                        <a:solidFill>
                          <a:schemeClr val="accent2"/>
                        </a:solidFill>
                      </a:rPr>
                      <a:t>20%</a:t>
                    </a:r>
                  </a:p>
                </c:rich>
              </c:tx>
              <c:showPercent val="1"/>
            </c:dLbl>
            <c:dLbl>
              <c:idx val="2"/>
              <c:layout>
                <c:manualLayout>
                  <c:x val="0.15652879358459748"/>
                  <c:y val="-3.3120271730739538E-2"/>
                </c:manualLayout>
              </c:layout>
              <c:tx>
                <c:rich>
                  <a:bodyPr/>
                  <a:lstStyle/>
                  <a:p>
                    <a:r>
                      <a:rPr lang="en-US" sz="1400" b="1">
                        <a:solidFill>
                          <a:schemeClr val="accent3">
                            <a:lumMod val="75000"/>
                          </a:schemeClr>
                        </a:solidFill>
                      </a:rPr>
                      <a:t>5%</a:t>
                    </a:r>
                  </a:p>
                </c:rich>
              </c:tx>
              <c:showPercent val="1"/>
            </c:dLbl>
            <c:showPercent val="1"/>
            <c:showLeaderLines val="1"/>
          </c:dLbls>
          <c:cat>
            <c:strRef>
              <c:f>Лист1!$A$1:$C$1</c:f>
              <c:strCache>
                <c:ptCount val="3"/>
                <c:pt idx="0">
                  <c:v>Первый эпизод</c:v>
                </c:pt>
                <c:pt idx="1">
                  <c:v>Второй эпизод</c:v>
                </c:pt>
                <c:pt idx="2">
                  <c:v>Третий эпизод</c:v>
                </c:pt>
              </c:strCache>
            </c:strRef>
          </c:cat>
          <c:val>
            <c:numRef>
              <c:f>Лист1!$A$2:$C$2</c:f>
              <c:numCache>
                <c:formatCode>0%</c:formatCode>
                <c:ptCount val="3"/>
                <c:pt idx="0">
                  <c:v>0.75000000000000311</c:v>
                </c:pt>
                <c:pt idx="1">
                  <c:v>0.2</c:v>
                </c:pt>
                <c:pt idx="2">
                  <c:v>5.0000000000000114E-2</c:v>
                </c:pt>
              </c:numCache>
            </c:numRef>
          </c:val>
        </c:ser>
        <c:dLbls>
          <c:showPercent val="1"/>
        </c:dLbls>
      </c:pie3DChart>
    </c:plotArea>
    <c:legend>
      <c:legendPos val="t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F8073-4BE2-40F3-A18C-8059F13B3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Сюзанна</dc:creator>
  <cp:lastModifiedBy>HP</cp:lastModifiedBy>
  <cp:revision>32</cp:revision>
  <cp:lastPrinted>2016-06-02T10:47:00Z</cp:lastPrinted>
  <dcterms:created xsi:type="dcterms:W3CDTF">2016-06-01T21:00:00Z</dcterms:created>
  <dcterms:modified xsi:type="dcterms:W3CDTF">2022-06-17T04:54:00Z</dcterms:modified>
</cp:coreProperties>
</file>